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C954E">
      <w:pPr>
        <w:pStyle w:val="20"/>
        <w:jc w:val="both"/>
        <w:rPr>
          <w:rFonts w:ascii="Times New Roman" w:hAnsi="Times New Roman" w:cs="Times New Roman"/>
          <w:b/>
          <w:color w:val="2E75B6" w:themeColor="accent1" w:themeShade="BF"/>
        </w:rPr>
      </w:pPr>
    </w:p>
    <w:p w14:paraId="0ED27CCC">
      <w:pPr>
        <w:pStyle w:val="20"/>
        <w:jc w:val="both"/>
        <w:rPr>
          <w:rFonts w:hint="default" w:ascii="Century Gothic" w:hAnsi="Century Gothic" w:cs="Century Gothic"/>
          <w:b/>
          <w:color w:val="2E75B6" w:themeColor="accent1" w:themeShade="BF"/>
          <w:sz w:val="24"/>
          <w:szCs w:val="24"/>
        </w:rPr>
      </w:pPr>
    </w:p>
    <w:p w14:paraId="1C179EC1">
      <w:pPr>
        <w:pStyle w:val="20"/>
        <w:ind w:firstLine="2641" w:firstLineChars="1100"/>
        <w:jc w:val="both"/>
        <w:rPr>
          <w:rFonts w:hint="default" w:ascii="Century Gothic" w:hAnsi="Century Gothic" w:cs="Century Gothic"/>
          <w:b/>
          <w:sz w:val="24"/>
          <w:szCs w:val="24"/>
        </w:rPr>
      </w:pPr>
      <w:r>
        <w:rPr>
          <w:rFonts w:hint="default" w:ascii="Century Gothic" w:hAnsi="Century Gothic" w:cs="Century Gothic"/>
          <w:b/>
          <w:sz w:val="24"/>
          <w:szCs w:val="24"/>
        </w:rPr>
        <w:t>Zbog povećanog obima posla</w:t>
      </w:r>
    </w:p>
    <w:p w14:paraId="30F79E31">
      <w:pPr>
        <w:pStyle w:val="20"/>
        <w:jc w:val="both"/>
        <w:rPr>
          <w:rFonts w:hint="default" w:ascii="Century Gothic" w:hAnsi="Century Gothic" w:cs="Century Gothic"/>
          <w:b/>
          <w:sz w:val="24"/>
          <w:szCs w:val="24"/>
        </w:rPr>
      </w:pPr>
    </w:p>
    <w:p w14:paraId="0A4A31CA">
      <w:pPr>
        <w:pStyle w:val="20"/>
        <w:jc w:val="both"/>
        <w:rPr>
          <w:rFonts w:hint="default" w:ascii="Century Gothic" w:hAnsi="Century Gothic" w:cs="Century Gothic"/>
          <w:b/>
          <w:sz w:val="24"/>
          <w:szCs w:val="24"/>
        </w:rPr>
      </w:pPr>
      <w:r>
        <w:rPr>
          <w:rFonts w:hint="default" w:ascii="Century Gothic" w:hAnsi="Century Gothic" w:cs="Century Gothic"/>
          <w:b/>
          <w:sz w:val="24"/>
          <w:szCs w:val="24"/>
        </w:rPr>
        <w:t>RASPISUJEMO OGLAS ZA PRIJEM RADNIKA NA SLJEDEĆE RADNE POZICIJE:</w:t>
      </w:r>
    </w:p>
    <w:p w14:paraId="7667E714">
      <w:pPr>
        <w:pStyle w:val="20"/>
        <w:jc w:val="both"/>
        <w:rPr>
          <w:rFonts w:hint="default" w:ascii="Century Gothic" w:hAnsi="Century Gothic" w:cs="Century Gothic"/>
          <w:b/>
          <w:sz w:val="24"/>
          <w:szCs w:val="24"/>
        </w:rPr>
      </w:pPr>
    </w:p>
    <w:p w14:paraId="674B91A8">
      <w:pPr>
        <w:pStyle w:val="20"/>
        <w:numPr>
          <w:ilvl w:val="0"/>
          <w:numId w:val="1"/>
        </w:numPr>
        <w:jc w:val="both"/>
        <w:rPr>
          <w:rFonts w:hint="default" w:ascii="Century Gothic" w:hAnsi="Century Gothic" w:cs="Century Gothic"/>
          <w:b/>
          <w:sz w:val="24"/>
          <w:szCs w:val="24"/>
        </w:rPr>
      </w:pPr>
      <w:r>
        <w:rPr>
          <w:rFonts w:hint="default" w:ascii="Century Gothic" w:hAnsi="Century Gothic" w:cs="Century Gothic"/>
          <w:b/>
          <w:sz w:val="24"/>
          <w:szCs w:val="24"/>
        </w:rPr>
        <w:t xml:space="preserve">TESARI – </w:t>
      </w:r>
      <w:r>
        <w:rPr>
          <w:rFonts w:hint="default" w:ascii="Century Gothic" w:hAnsi="Century Gothic" w:cs="Century Gothic"/>
          <w:b/>
          <w:sz w:val="24"/>
          <w:szCs w:val="24"/>
          <w:lang w:val="hr-HR"/>
        </w:rPr>
        <w:t>15</w:t>
      </w:r>
      <w:r>
        <w:rPr>
          <w:rFonts w:hint="default" w:ascii="Century Gothic" w:hAnsi="Century Gothic" w:cs="Century Gothic"/>
          <w:b/>
          <w:sz w:val="24"/>
          <w:szCs w:val="24"/>
        </w:rPr>
        <w:t xml:space="preserve"> radnih mjesta;</w:t>
      </w:r>
    </w:p>
    <w:p w14:paraId="36899578">
      <w:pPr>
        <w:pStyle w:val="20"/>
        <w:numPr>
          <w:ilvl w:val="0"/>
          <w:numId w:val="1"/>
        </w:numPr>
        <w:jc w:val="both"/>
        <w:rPr>
          <w:rFonts w:hint="default" w:ascii="Century Gothic" w:hAnsi="Century Gothic" w:cs="Century Gothic"/>
          <w:b/>
          <w:sz w:val="24"/>
          <w:szCs w:val="24"/>
        </w:rPr>
      </w:pPr>
      <w:r>
        <w:rPr>
          <w:rFonts w:hint="default" w:ascii="Century Gothic" w:hAnsi="Century Gothic" w:cs="Century Gothic"/>
          <w:b/>
          <w:sz w:val="24"/>
          <w:szCs w:val="24"/>
        </w:rPr>
        <w:t xml:space="preserve">ZIDARI – </w:t>
      </w:r>
      <w:r>
        <w:rPr>
          <w:rFonts w:hint="default" w:ascii="Century Gothic" w:hAnsi="Century Gothic" w:cs="Century Gothic"/>
          <w:b/>
          <w:sz w:val="24"/>
          <w:szCs w:val="24"/>
          <w:lang w:val="hr-HR"/>
        </w:rPr>
        <w:t>10</w:t>
      </w:r>
      <w:r>
        <w:rPr>
          <w:rFonts w:hint="default" w:ascii="Century Gothic" w:hAnsi="Century Gothic" w:cs="Century Gothic"/>
          <w:b/>
          <w:sz w:val="24"/>
          <w:szCs w:val="24"/>
        </w:rPr>
        <w:t xml:space="preserve"> radnih mjesta;</w:t>
      </w:r>
    </w:p>
    <w:p w14:paraId="317427D1">
      <w:pPr>
        <w:pStyle w:val="20"/>
        <w:numPr>
          <w:ilvl w:val="0"/>
          <w:numId w:val="1"/>
        </w:numPr>
        <w:jc w:val="both"/>
        <w:rPr>
          <w:rFonts w:hint="default" w:ascii="Century Gothic" w:hAnsi="Century Gothic" w:cs="Century Gothic"/>
          <w:b/>
          <w:sz w:val="24"/>
          <w:szCs w:val="24"/>
        </w:rPr>
      </w:pPr>
      <w:r>
        <w:rPr>
          <w:rFonts w:hint="default" w:ascii="Century Gothic" w:hAnsi="Century Gothic" w:cs="Century Gothic"/>
          <w:b/>
          <w:sz w:val="24"/>
          <w:szCs w:val="24"/>
        </w:rPr>
        <w:t>ARMIRAČI –</w:t>
      </w:r>
      <w:r>
        <w:rPr>
          <w:rFonts w:hint="default" w:ascii="Century Gothic" w:hAnsi="Century Gothic" w:cs="Century Gothic"/>
          <w:b/>
          <w:sz w:val="24"/>
          <w:szCs w:val="24"/>
          <w:lang w:val="hr-HR"/>
        </w:rPr>
        <w:t xml:space="preserve"> 5</w:t>
      </w:r>
      <w:r>
        <w:rPr>
          <w:rFonts w:hint="default" w:ascii="Century Gothic" w:hAnsi="Century Gothic" w:cs="Century Gothic"/>
          <w:b/>
          <w:sz w:val="24"/>
          <w:szCs w:val="24"/>
        </w:rPr>
        <w:t xml:space="preserve"> radnih mjesta.</w:t>
      </w:r>
    </w:p>
    <w:p w14:paraId="25D0DBE7">
      <w:pPr>
        <w:pStyle w:val="20"/>
        <w:ind w:left="720"/>
        <w:jc w:val="both"/>
        <w:rPr>
          <w:rFonts w:hint="default" w:ascii="Century Gothic" w:hAnsi="Century Gothic" w:cs="Century Gothic"/>
          <w:b/>
          <w:sz w:val="24"/>
          <w:szCs w:val="24"/>
        </w:rPr>
      </w:pPr>
    </w:p>
    <w:p w14:paraId="492706F0">
      <w:pPr>
        <w:pStyle w:val="20"/>
        <w:jc w:val="both"/>
        <w:rPr>
          <w:rFonts w:hint="default" w:ascii="Century Gothic" w:hAnsi="Century Gothic" w:cs="Century Gothic"/>
          <w:b/>
          <w:sz w:val="24"/>
          <w:szCs w:val="24"/>
        </w:rPr>
      </w:pPr>
      <w:r>
        <w:rPr>
          <w:rFonts w:hint="default" w:ascii="Century Gothic" w:hAnsi="Century Gothic" w:cs="Century Gothic"/>
          <w:b/>
          <w:sz w:val="24"/>
          <w:szCs w:val="24"/>
        </w:rPr>
        <w:t>KRATAK OPIS POSLA:</w:t>
      </w:r>
    </w:p>
    <w:p w14:paraId="552E7871">
      <w:pPr>
        <w:pStyle w:val="20"/>
        <w:jc w:val="both"/>
        <w:rPr>
          <w:rFonts w:hint="default" w:ascii="Century Gothic" w:hAnsi="Century Gothic" w:cs="Century Gothic"/>
          <w:b/>
          <w:sz w:val="24"/>
          <w:szCs w:val="24"/>
        </w:rPr>
      </w:pPr>
    </w:p>
    <w:p w14:paraId="087DEC62">
      <w:pPr>
        <w:pStyle w:val="20"/>
        <w:numPr>
          <w:ilvl w:val="0"/>
          <w:numId w:val="2"/>
        </w:numPr>
        <w:jc w:val="both"/>
        <w:rPr>
          <w:rFonts w:hint="default" w:ascii="Century Gothic" w:hAnsi="Century Gothic" w:cs="Century Gothic"/>
          <w:b/>
          <w:sz w:val="24"/>
          <w:szCs w:val="24"/>
          <w:shd w:val="clear" w:color="auto" w:fill="FFFFFF"/>
        </w:rPr>
      </w:pPr>
      <w:r>
        <w:rPr>
          <w:rFonts w:hint="default" w:ascii="Century Gothic" w:hAnsi="Century Gothic" w:cs="Century Gothic"/>
          <w:b/>
          <w:sz w:val="24"/>
          <w:szCs w:val="24"/>
          <w:shd w:val="clear" w:color="auto" w:fill="FFFFFF"/>
        </w:rPr>
        <w:t>Tesarski radovi:</w:t>
      </w:r>
    </w:p>
    <w:p w14:paraId="4D6CBB36">
      <w:pPr>
        <w:pStyle w:val="18"/>
        <w:numPr>
          <w:ilvl w:val="0"/>
          <w:numId w:val="3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cs="Century Gothic"/>
          <w:sz w:val="24"/>
          <w:szCs w:val="24"/>
        </w:rPr>
      </w:pPr>
      <w:r>
        <w:rPr>
          <w:rFonts w:hint="default" w:ascii="Century Gothic" w:hAnsi="Century Gothic" w:cs="Century Gothic"/>
          <w:sz w:val="24"/>
          <w:szCs w:val="24"/>
        </w:rPr>
        <w:t>Izrada svih vrsta oplata, krovnih konstrukcija, skela, podova sa brodskim i drugim materijalom, obrada plafona, letvisanje krova ,kaseta, kuhinja za malter i drugi tesarski radovi;</w:t>
      </w:r>
    </w:p>
    <w:p w14:paraId="353F76EB">
      <w:pPr>
        <w:pStyle w:val="18"/>
        <w:numPr>
          <w:ilvl w:val="0"/>
          <w:numId w:val="3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cs="Century Gothic"/>
          <w:sz w:val="24"/>
          <w:szCs w:val="24"/>
        </w:rPr>
      </w:pPr>
      <w:r>
        <w:rPr>
          <w:rFonts w:hint="default" w:ascii="Century Gothic" w:hAnsi="Century Gothic" w:cs="Century Gothic"/>
          <w:sz w:val="24"/>
          <w:szCs w:val="24"/>
        </w:rPr>
        <w:t>Pokrivanje svih krovova sa krovnim pokrivačem, crijepom, salonitom, eternitomi slično;</w:t>
      </w:r>
    </w:p>
    <w:p w14:paraId="15536BD6">
      <w:pPr>
        <w:pStyle w:val="18"/>
        <w:numPr>
          <w:ilvl w:val="0"/>
          <w:numId w:val="3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cs="Century Gothic"/>
          <w:sz w:val="24"/>
          <w:szCs w:val="24"/>
        </w:rPr>
      </w:pPr>
      <w:r>
        <w:rPr>
          <w:rFonts w:hint="default" w:ascii="Century Gothic" w:hAnsi="Century Gothic" w:cs="Century Gothic"/>
          <w:sz w:val="24"/>
          <w:szCs w:val="24"/>
        </w:rPr>
        <w:t>Radovi sa montažnom oplatom, radovi na konstrukcijama koji se  izvode sistemom kliznih oplata, montaža i demontaža svih vrsta skela od drveta i čeličnih cijevi.</w:t>
      </w:r>
    </w:p>
    <w:p w14:paraId="35D640F8">
      <w:pPr>
        <w:tabs>
          <w:tab w:val="left" w:pos="420"/>
        </w:tabs>
        <w:spacing w:after="0" w:line="240" w:lineRule="auto"/>
        <w:ind w:left="360"/>
        <w:jc w:val="both"/>
        <w:rPr>
          <w:rFonts w:hint="default" w:ascii="Century Gothic" w:hAnsi="Century Gothic" w:cs="Century Gothic"/>
          <w:sz w:val="24"/>
          <w:szCs w:val="24"/>
        </w:rPr>
      </w:pPr>
    </w:p>
    <w:p w14:paraId="3264C4A7">
      <w:pPr>
        <w:pStyle w:val="20"/>
        <w:numPr>
          <w:ilvl w:val="0"/>
          <w:numId w:val="2"/>
        </w:numPr>
        <w:jc w:val="both"/>
        <w:rPr>
          <w:rFonts w:hint="default" w:ascii="Century Gothic" w:hAnsi="Century Gothic" w:cs="Century Gothic"/>
          <w:b/>
          <w:sz w:val="24"/>
          <w:szCs w:val="24"/>
          <w:shd w:val="clear" w:color="auto" w:fill="FFFFFF"/>
        </w:rPr>
      </w:pPr>
      <w:r>
        <w:rPr>
          <w:rFonts w:hint="default" w:ascii="Century Gothic" w:hAnsi="Century Gothic" w:cs="Century Gothic"/>
          <w:b/>
          <w:sz w:val="24"/>
          <w:szCs w:val="24"/>
          <w:shd w:val="clear" w:color="auto" w:fill="FFFFFF"/>
        </w:rPr>
        <w:t>Armirački radovi:</w:t>
      </w:r>
    </w:p>
    <w:p w14:paraId="096A5A00">
      <w:pPr>
        <w:pStyle w:val="18"/>
        <w:numPr>
          <w:ilvl w:val="0"/>
          <w:numId w:val="4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cs="Century Gothic"/>
          <w:sz w:val="24"/>
          <w:szCs w:val="24"/>
        </w:rPr>
      </w:pPr>
      <w:r>
        <w:rPr>
          <w:rFonts w:hint="default" w:ascii="Century Gothic" w:hAnsi="Century Gothic" w:cs="Century Gothic"/>
          <w:sz w:val="24"/>
          <w:szCs w:val="24"/>
        </w:rPr>
        <w:t>Samostalno vrši izradu i montažu jednostavne, srednje složene i složene armature;</w:t>
      </w:r>
    </w:p>
    <w:p w14:paraId="77FDD850">
      <w:pPr>
        <w:pStyle w:val="18"/>
        <w:numPr>
          <w:ilvl w:val="0"/>
          <w:numId w:val="4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cs="Century Gothic"/>
          <w:sz w:val="24"/>
          <w:szCs w:val="24"/>
        </w:rPr>
      </w:pPr>
      <w:r>
        <w:rPr>
          <w:rFonts w:hint="default" w:ascii="Century Gothic" w:hAnsi="Century Gothic" w:cs="Century Gothic"/>
          <w:sz w:val="24"/>
          <w:szCs w:val="24"/>
        </w:rPr>
        <w:t>Čitanje i poznavanje nacrta za izradu i montažu armature;</w:t>
      </w:r>
    </w:p>
    <w:p w14:paraId="1190D418">
      <w:pPr>
        <w:pStyle w:val="18"/>
        <w:numPr>
          <w:ilvl w:val="0"/>
          <w:numId w:val="4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cs="Century Gothic"/>
          <w:sz w:val="24"/>
          <w:szCs w:val="24"/>
        </w:rPr>
      </w:pPr>
      <w:r>
        <w:rPr>
          <w:rFonts w:hint="default" w:ascii="Century Gothic" w:hAnsi="Century Gothic" w:cs="Century Gothic"/>
          <w:sz w:val="24"/>
          <w:szCs w:val="24"/>
        </w:rPr>
        <w:t>Mora da poznaje montažu svih vrsta montažnih elemenata</w:t>
      </w:r>
    </w:p>
    <w:p w14:paraId="6CB017E4">
      <w:pPr>
        <w:pStyle w:val="18"/>
        <w:tabs>
          <w:tab w:val="left" w:pos="420"/>
        </w:tabs>
        <w:spacing w:after="0" w:line="240" w:lineRule="auto"/>
        <w:jc w:val="both"/>
        <w:rPr>
          <w:rFonts w:hint="default" w:ascii="Century Gothic" w:hAnsi="Century Gothic" w:cs="Century Gothic"/>
          <w:sz w:val="24"/>
          <w:szCs w:val="24"/>
        </w:rPr>
      </w:pPr>
    </w:p>
    <w:p w14:paraId="052036E6">
      <w:pPr>
        <w:pStyle w:val="20"/>
        <w:numPr>
          <w:ilvl w:val="0"/>
          <w:numId w:val="2"/>
        </w:numPr>
        <w:jc w:val="both"/>
        <w:rPr>
          <w:rFonts w:hint="default" w:ascii="Century Gothic" w:hAnsi="Century Gothic" w:cs="Century Gothic"/>
          <w:b/>
          <w:sz w:val="24"/>
          <w:szCs w:val="24"/>
        </w:rPr>
      </w:pPr>
      <w:r>
        <w:rPr>
          <w:rFonts w:hint="default" w:ascii="Century Gothic" w:hAnsi="Century Gothic" w:cs="Century Gothic"/>
          <w:b/>
          <w:sz w:val="24"/>
          <w:szCs w:val="24"/>
        </w:rPr>
        <w:t>Zidarski radovi:</w:t>
      </w:r>
    </w:p>
    <w:p w14:paraId="183AFBAF">
      <w:pPr>
        <w:pStyle w:val="18"/>
        <w:numPr>
          <w:ilvl w:val="0"/>
          <w:numId w:val="5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Zidanje svih vrsta zidova, podnih pregradnih i obloženih od opeke, siporex kocke, knin gips pločama, heraklit, drvolit, produžnim i cementnim malterom;</w:t>
      </w:r>
    </w:p>
    <w:p w14:paraId="31DD1BBF">
      <w:pPr>
        <w:pStyle w:val="18"/>
        <w:numPr>
          <w:ilvl w:val="0"/>
          <w:numId w:val="5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Zidanje zidova sa kamenom neobrađenim, dorađivanjem, lebežni slojevi i druge vrste kamenih zidova;</w:t>
      </w:r>
    </w:p>
    <w:p w14:paraId="0E4C7210">
      <w:pPr>
        <w:pStyle w:val="18"/>
        <w:numPr>
          <w:ilvl w:val="0"/>
          <w:numId w:val="5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Ugrađivanje raznih predmeta stolarije, bravarije, betonskih vratašca, dimnjačkih rozetni, montaža stepenica, montaža ograde, rešetki, žaluzina i slično;</w:t>
      </w:r>
    </w:p>
    <w:p w14:paraId="2A438AE6">
      <w:pPr>
        <w:pStyle w:val="18"/>
        <w:numPr>
          <w:ilvl w:val="0"/>
          <w:numId w:val="5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Malterisanje svih vrsta stubova i greda, kao i nanošenje umjetnog kamena sa ispiranjem, pikovanjem i sličnom obradom;</w:t>
      </w:r>
    </w:p>
    <w:p w14:paraId="6993C375">
      <w:pPr>
        <w:pStyle w:val="18"/>
        <w:tabs>
          <w:tab w:val="left" w:pos="420"/>
        </w:tabs>
        <w:spacing w:after="0" w:line="240" w:lineRule="auto"/>
        <w:ind w:left="784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</w:p>
    <w:p w14:paraId="729D3034">
      <w:pPr>
        <w:pStyle w:val="18"/>
        <w:tabs>
          <w:tab w:val="left" w:pos="420"/>
        </w:tabs>
        <w:spacing w:after="0" w:line="240" w:lineRule="auto"/>
        <w:ind w:left="784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</w:p>
    <w:p w14:paraId="74DAA3B5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</w:p>
    <w:p w14:paraId="4807EB5E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</w:pPr>
    </w:p>
    <w:p w14:paraId="0FA7CA1E">
      <w:pPr>
        <w:tabs>
          <w:tab w:val="left" w:pos="420"/>
        </w:tabs>
        <w:spacing w:after="0" w:line="240" w:lineRule="auto"/>
        <w:jc w:val="both"/>
        <w:rPr>
          <w:rFonts w:ascii="Times New Roman" w:hAnsi="Times New Roman" w:eastAsia="SimSun" w:cs="Times New Roman"/>
          <w:b/>
          <w:sz w:val="22"/>
          <w:szCs w:val="22"/>
          <w:lang w:eastAsia="hr-HR"/>
        </w:rPr>
      </w:pPr>
    </w:p>
    <w:p w14:paraId="0081EF58">
      <w:pPr>
        <w:tabs>
          <w:tab w:val="left" w:pos="420"/>
        </w:tabs>
        <w:spacing w:after="0" w:line="240" w:lineRule="auto"/>
        <w:jc w:val="both"/>
        <w:rPr>
          <w:rFonts w:ascii="Times New Roman" w:hAnsi="Times New Roman" w:eastAsia="SimSun" w:cs="Times New Roman"/>
          <w:b/>
          <w:sz w:val="22"/>
          <w:szCs w:val="22"/>
          <w:lang w:eastAsia="hr-HR"/>
        </w:rPr>
      </w:pPr>
    </w:p>
    <w:p w14:paraId="45803E74">
      <w:pPr>
        <w:tabs>
          <w:tab w:val="left" w:pos="420"/>
        </w:tabs>
        <w:spacing w:after="0" w:line="240" w:lineRule="auto"/>
        <w:jc w:val="both"/>
        <w:rPr>
          <w:rFonts w:ascii="Times New Roman" w:hAnsi="Times New Roman" w:eastAsia="SimSun" w:cs="Times New Roman"/>
          <w:b/>
          <w:sz w:val="22"/>
          <w:szCs w:val="22"/>
          <w:lang w:eastAsia="hr-HR"/>
        </w:rPr>
      </w:pPr>
    </w:p>
    <w:p w14:paraId="5C3F52DD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  <w:t>POŽELJNE KVALIFIKACIJE KANDIDATA:</w:t>
      </w:r>
    </w:p>
    <w:p w14:paraId="3ED931E9">
      <w:pPr>
        <w:pStyle w:val="18"/>
        <w:numPr>
          <w:ilvl w:val="0"/>
          <w:numId w:val="6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Potrebno radno iskustvo kao tesar, armirač i zidar, ili srodnom građevinskom pozicijom;</w:t>
      </w:r>
    </w:p>
    <w:p w14:paraId="1953A09C">
      <w:pPr>
        <w:pStyle w:val="18"/>
        <w:numPr>
          <w:ilvl w:val="0"/>
          <w:numId w:val="6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Poznavanje različitih vrsta materijala i rukovanje raznim električnim alatima;</w:t>
      </w:r>
    </w:p>
    <w:p w14:paraId="13613012">
      <w:pPr>
        <w:pStyle w:val="18"/>
        <w:numPr>
          <w:ilvl w:val="0"/>
          <w:numId w:val="6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Poželjna sposobnost čitanja tehničkih crteža i planova;</w:t>
      </w:r>
    </w:p>
    <w:p w14:paraId="493173AB">
      <w:pPr>
        <w:pStyle w:val="18"/>
        <w:numPr>
          <w:ilvl w:val="0"/>
          <w:numId w:val="6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Sposobnost rada u timu .</w:t>
      </w:r>
    </w:p>
    <w:p w14:paraId="40B9CFA1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</w:pPr>
    </w:p>
    <w:p w14:paraId="34A6EE2E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</w:pPr>
    </w:p>
    <w:p w14:paraId="1796A833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  <w:t>MI KAO KOMPANIJA NUDIMO:</w:t>
      </w:r>
    </w:p>
    <w:p w14:paraId="28BE2989">
      <w:pPr>
        <w:pStyle w:val="18"/>
        <w:numPr>
          <w:ilvl w:val="0"/>
          <w:numId w:val="7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Rad u dinamičnom timu;</w:t>
      </w:r>
    </w:p>
    <w:p w14:paraId="7BC1B457">
      <w:pPr>
        <w:pStyle w:val="18"/>
        <w:numPr>
          <w:ilvl w:val="0"/>
          <w:numId w:val="7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Mogućnost dugoročnog i stalnog zaposlenja;</w:t>
      </w:r>
    </w:p>
    <w:p w14:paraId="0826EF43">
      <w:pPr>
        <w:pStyle w:val="18"/>
        <w:numPr>
          <w:ilvl w:val="0"/>
          <w:numId w:val="7"/>
        </w:num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Mogućnost sticanja novih znanja, napredovanje kao još mnoge pogodnosti.</w:t>
      </w:r>
    </w:p>
    <w:p w14:paraId="285D3C8E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</w:p>
    <w:p w14:paraId="7EEDE45C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Kandidati koji popune navedena radna mjesta će poslove obavljati u Tuzli</w:t>
      </w:r>
      <w:r>
        <w:rPr>
          <w:rFonts w:hint="default" w:ascii="Century Gothic" w:hAnsi="Century Gothic" w:eastAsia="SimSun" w:cs="Century Gothic"/>
          <w:sz w:val="24"/>
          <w:szCs w:val="24"/>
          <w:lang w:val="en-US" w:eastAsia="hr-HR"/>
        </w:rPr>
        <w:t xml:space="preserve"> i </w:t>
      </w:r>
      <w:bookmarkStart w:id="0" w:name="_GoBack"/>
      <w:bookmarkEnd w:id="0"/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Lukavcu, te prednosti imaju kandidati koji dolaze sa prostora općina Tuzla, Kalesija , Živinice, Srebrenik i Lukavac.</w:t>
      </w:r>
    </w:p>
    <w:p w14:paraId="065BB5E8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</w:p>
    <w:p w14:paraId="149A9F61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  <w:t>KAKO SE PRIJAVITI:</w:t>
      </w:r>
    </w:p>
    <w:p w14:paraId="1AD3B4DE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 xml:space="preserve">Vaše prijave možete slati na mail: </w:t>
      </w:r>
      <w:r>
        <w:rPr>
          <w:rFonts w:hint="default" w:ascii="Century Gothic" w:hAnsi="Century Gothic" w:cs="Century Gothic"/>
          <w:sz w:val="24"/>
          <w:szCs w:val="24"/>
        </w:rPr>
        <w:fldChar w:fldCharType="begin"/>
      </w:r>
      <w:r>
        <w:rPr>
          <w:rFonts w:hint="default" w:ascii="Century Gothic" w:hAnsi="Century Gothic" w:cs="Century Gothic"/>
          <w:sz w:val="24"/>
          <w:szCs w:val="24"/>
        </w:rPr>
        <w:instrText xml:space="preserve"> HYPERLINK "mailto:kadrovska@tehnograd-company.ba" </w:instrText>
      </w:r>
      <w:r>
        <w:rPr>
          <w:rFonts w:hint="default" w:ascii="Century Gothic" w:hAnsi="Century Gothic" w:cs="Century Gothic"/>
          <w:sz w:val="24"/>
          <w:szCs w:val="24"/>
        </w:rPr>
        <w:fldChar w:fldCharType="separate"/>
      </w:r>
      <w:r>
        <w:rPr>
          <w:rStyle w:val="10"/>
          <w:rFonts w:hint="default" w:ascii="Century Gothic" w:hAnsi="Century Gothic" w:eastAsia="SimSun" w:cs="Century Gothic"/>
          <w:b/>
          <w:sz w:val="24"/>
          <w:szCs w:val="24"/>
          <w:lang w:eastAsia="hr-HR"/>
        </w:rPr>
        <w:t>kadrovska@tehnograd-company.ba</w:t>
      </w:r>
      <w:r>
        <w:rPr>
          <w:rStyle w:val="10"/>
          <w:rFonts w:hint="default" w:ascii="Century Gothic" w:hAnsi="Century Gothic" w:eastAsia="SimSun" w:cs="Century Gothic"/>
          <w:b/>
          <w:sz w:val="24"/>
          <w:szCs w:val="24"/>
          <w:lang w:eastAsia="hr-HR"/>
        </w:rPr>
        <w:fldChar w:fldCharType="end"/>
      </w:r>
      <w:r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  <w:t xml:space="preserve">  </w:t>
      </w:r>
    </w:p>
    <w:p w14:paraId="16869C4F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sz w:val="24"/>
          <w:szCs w:val="24"/>
          <w:lang w:eastAsia="hr-HR"/>
        </w:rPr>
        <w:t>ili na broj 035/252-433 svakim radnim danom od 07:30 do 15:30.</w:t>
      </w:r>
    </w:p>
    <w:p w14:paraId="7656BC03">
      <w:pPr>
        <w:tabs>
          <w:tab w:val="left" w:pos="420"/>
        </w:tabs>
        <w:spacing w:after="0" w:line="240" w:lineRule="auto"/>
        <w:jc w:val="both"/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</w:pPr>
      <w:r>
        <w:rPr>
          <w:rFonts w:hint="default" w:ascii="Century Gothic" w:hAnsi="Century Gothic" w:eastAsia="SimSun" w:cs="Century Gothic"/>
          <w:b/>
          <w:sz w:val="24"/>
          <w:szCs w:val="24"/>
          <w:lang w:eastAsia="hr-HR"/>
        </w:rPr>
        <w:t>Kandidati koji se prijavljuju putem maila obavezni su naznačiti broj telefona.</w:t>
      </w:r>
    </w:p>
    <w:p w14:paraId="062BE768">
      <w:pPr>
        <w:pStyle w:val="20"/>
        <w:ind w:left="720"/>
        <w:jc w:val="both"/>
        <w:rPr>
          <w:rFonts w:hint="default" w:ascii="Century Gothic" w:hAnsi="Century Gothic" w:cs="Century Gothic"/>
          <w:b/>
          <w:sz w:val="24"/>
          <w:szCs w:val="24"/>
        </w:rPr>
      </w:pPr>
    </w:p>
    <w:p w14:paraId="38083D4A">
      <w:pPr>
        <w:pStyle w:val="20"/>
        <w:ind w:left="720"/>
        <w:rPr>
          <w:rFonts w:ascii="Times New Roman" w:hAnsi="Times New Roman" w:cs="Times New Roman"/>
          <w:b/>
          <w:sz w:val="22"/>
          <w:szCs w:val="22"/>
        </w:rPr>
      </w:pPr>
    </w:p>
    <w:p w14:paraId="56B021BF">
      <w:pPr>
        <w:pStyle w:val="20"/>
        <w:ind w:left="720"/>
        <w:rPr>
          <w:b/>
          <w:sz w:val="22"/>
          <w:szCs w:val="22"/>
        </w:rPr>
      </w:pPr>
    </w:p>
    <w:p w14:paraId="68C881CC">
      <w:pPr>
        <w:pStyle w:val="20"/>
        <w:ind w:left="720"/>
        <w:rPr>
          <w:b/>
          <w:sz w:val="22"/>
          <w:szCs w:val="22"/>
        </w:rPr>
      </w:pPr>
    </w:p>
    <w:p w14:paraId="5EB57ACF">
      <w:pPr>
        <w:pStyle w:val="20"/>
        <w:ind w:left="720"/>
        <w:rPr>
          <w:b/>
          <w:sz w:val="22"/>
          <w:szCs w:val="22"/>
        </w:rPr>
      </w:pPr>
    </w:p>
    <w:p w14:paraId="74D4F88A">
      <w:pPr>
        <w:pStyle w:val="20"/>
        <w:ind w:left="720"/>
        <w:rPr>
          <w:b/>
          <w:sz w:val="22"/>
          <w:szCs w:val="22"/>
        </w:rPr>
      </w:pPr>
    </w:p>
    <w:p w14:paraId="21DB01EE">
      <w:pPr>
        <w:pStyle w:val="20"/>
        <w:ind w:left="720"/>
        <w:rPr>
          <w:b/>
          <w:sz w:val="22"/>
          <w:szCs w:val="22"/>
        </w:rPr>
      </w:pPr>
    </w:p>
    <w:p w14:paraId="448BFB54">
      <w:pPr>
        <w:pStyle w:val="20"/>
        <w:ind w:left="720"/>
        <w:rPr>
          <w:b/>
          <w:sz w:val="22"/>
          <w:szCs w:val="22"/>
        </w:rPr>
      </w:pPr>
    </w:p>
    <w:p w14:paraId="7CC67C1D">
      <w:pPr>
        <w:pStyle w:val="20"/>
        <w:ind w:left="720"/>
        <w:rPr>
          <w:b/>
          <w:sz w:val="22"/>
          <w:szCs w:val="22"/>
        </w:rPr>
      </w:pPr>
    </w:p>
    <w:p w14:paraId="2EDBDBDF">
      <w:pPr>
        <w:pStyle w:val="20"/>
        <w:ind w:left="720"/>
        <w:rPr>
          <w:b/>
          <w:sz w:val="22"/>
          <w:szCs w:val="22"/>
        </w:rPr>
      </w:pPr>
    </w:p>
    <w:p w14:paraId="6CFF7321">
      <w:pPr>
        <w:pStyle w:val="20"/>
        <w:ind w:left="720"/>
        <w:rPr>
          <w:b/>
          <w:sz w:val="22"/>
          <w:szCs w:val="22"/>
        </w:rPr>
      </w:pPr>
    </w:p>
    <w:p w14:paraId="197E3A2B">
      <w:pPr>
        <w:pStyle w:val="20"/>
        <w:ind w:left="720"/>
        <w:rPr>
          <w:b/>
          <w:sz w:val="22"/>
          <w:szCs w:val="22"/>
        </w:rPr>
      </w:pPr>
    </w:p>
    <w:p w14:paraId="36E1FE1F">
      <w:pPr>
        <w:pStyle w:val="20"/>
        <w:ind w:left="720"/>
        <w:rPr>
          <w:b/>
          <w:sz w:val="22"/>
          <w:szCs w:val="22"/>
        </w:rPr>
      </w:pPr>
    </w:p>
    <w:p w14:paraId="08E30F7D">
      <w:pPr>
        <w:pStyle w:val="20"/>
        <w:ind w:left="720"/>
        <w:rPr>
          <w:b/>
          <w:sz w:val="22"/>
          <w:szCs w:val="22"/>
        </w:rPr>
      </w:pPr>
    </w:p>
    <w:p w14:paraId="72EE5273">
      <w:pPr>
        <w:pStyle w:val="20"/>
        <w:ind w:left="720"/>
        <w:rPr>
          <w:b/>
          <w:sz w:val="22"/>
          <w:szCs w:val="22"/>
        </w:rPr>
      </w:pPr>
    </w:p>
    <w:p w14:paraId="3A047416">
      <w:pPr>
        <w:pStyle w:val="20"/>
        <w:ind w:left="720"/>
        <w:rPr>
          <w:b/>
          <w:sz w:val="22"/>
          <w:szCs w:val="22"/>
        </w:rPr>
      </w:pPr>
    </w:p>
    <w:p w14:paraId="507D1D11">
      <w:pPr>
        <w:pStyle w:val="20"/>
        <w:ind w:left="720"/>
        <w:rPr>
          <w:b/>
          <w:sz w:val="22"/>
          <w:szCs w:val="22"/>
        </w:rPr>
      </w:pPr>
    </w:p>
    <w:p w14:paraId="09BC51DD">
      <w:pPr>
        <w:pStyle w:val="20"/>
        <w:ind w:left="720"/>
        <w:rPr>
          <w:b/>
          <w:sz w:val="22"/>
          <w:szCs w:val="22"/>
        </w:rPr>
      </w:pPr>
    </w:p>
    <w:p w14:paraId="05291419">
      <w:pPr>
        <w:pStyle w:val="20"/>
        <w:ind w:left="720"/>
        <w:rPr>
          <w:b/>
          <w:sz w:val="22"/>
          <w:szCs w:val="22"/>
        </w:rPr>
      </w:pPr>
    </w:p>
    <w:p w14:paraId="297FE260">
      <w:pPr>
        <w:pStyle w:val="20"/>
        <w:ind w:left="720"/>
        <w:rPr>
          <w:b/>
          <w:sz w:val="22"/>
          <w:szCs w:val="22"/>
        </w:rPr>
      </w:pPr>
    </w:p>
    <w:p w14:paraId="3CBC8F6A">
      <w:pPr>
        <w:pStyle w:val="20"/>
        <w:ind w:left="720"/>
        <w:rPr>
          <w:b/>
          <w:sz w:val="22"/>
          <w:szCs w:val="22"/>
        </w:rPr>
      </w:pPr>
    </w:p>
    <w:p w14:paraId="161CCC2C">
      <w:pPr>
        <w:pStyle w:val="20"/>
        <w:ind w:left="720"/>
        <w:rPr>
          <w:b/>
          <w:sz w:val="22"/>
          <w:szCs w:val="22"/>
        </w:rPr>
      </w:pPr>
    </w:p>
    <w:p w14:paraId="57C44334">
      <w:pPr>
        <w:pStyle w:val="20"/>
        <w:ind w:left="720"/>
        <w:rPr>
          <w:b/>
          <w:sz w:val="22"/>
          <w:szCs w:val="22"/>
        </w:rPr>
      </w:pPr>
    </w:p>
    <w:p w14:paraId="49C790A7">
      <w:pPr>
        <w:pStyle w:val="20"/>
        <w:rPr>
          <w:b/>
          <w:sz w:val="22"/>
          <w:szCs w:val="22"/>
        </w:rPr>
      </w:pPr>
    </w:p>
    <w:sectPr>
      <w:headerReference r:id="rId5" w:type="default"/>
      <w:footerReference r:id="rId6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EE"/>
    <w:family w:val="swiss"/>
    <w:pitch w:val="default"/>
    <w:sig w:usb0="E10022FF" w:usb1="C000E47F" w:usb2="00000029" w:usb3="00000000" w:csb0="200001DF" w:csb1="20000000"/>
  </w:font>
  <w:font w:name="Verdana">
    <w:panose1 w:val="020B0604030504040204"/>
    <w:charset w:val="EE"/>
    <w:family w:val="swiss"/>
    <w:pitch w:val="default"/>
    <w:sig w:usb0="A10006FF" w:usb1="4000205B" w:usb2="00000010" w:usb3="00000000" w:csb0="2000019F" w:csb1="00000000"/>
  </w:font>
  <w:font w:name="Century Gothic">
    <w:panose1 w:val="020B0502020202020204"/>
    <w:charset w:val="EE"/>
    <w:family w:val="swiss"/>
    <w:pitch w:val="default"/>
    <w:sig w:usb0="00000287" w:usb1="000000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AD653">
    <w:pPr>
      <w:pStyle w:val="8"/>
    </w:pPr>
    <w:r>
      <w:rPr>
        <w:rFonts w:ascii="Arial" w:hAnsi="Arial" w:cs="Arial"/>
        <w:b/>
        <w:sz w:val="20"/>
        <w:szCs w:val="20"/>
        <w:lang w:val="hr-HR" w:eastAsia="hr-H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-761365</wp:posOffset>
          </wp:positionH>
          <wp:positionV relativeFrom="paragraph">
            <wp:posOffset>-467360</wp:posOffset>
          </wp:positionV>
          <wp:extent cx="662940" cy="662940"/>
          <wp:effectExtent l="0" t="0" r="3810" b="3810"/>
          <wp:wrapThrough wrapText="bothSides">
            <wp:wrapPolygon>
              <wp:start x="0" y="0"/>
              <wp:lineTo x="0" y="21103"/>
              <wp:lineTo x="21103" y="21103"/>
              <wp:lineTo x="21103" y="0"/>
              <wp:lineTo x="0" y="0"/>
            </wp:wrapPolygon>
          </wp:wrapThrough>
          <wp:docPr id="1" name="Picture 1" descr="C:\ARHIVA  2017\1. LAP TOP - ČENGA\CERTIFIKACIJA\LOGO  DQS\nova\Loga\Cert M IQN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ARHIVA  2017\1. LAP TOP - ČENGA\CERTIFIKACIJA\LOGO  DQS\nova\Loga\Cert M IQNe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2940" cy="662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0"/>
        <w:szCs w:val="20"/>
        <w:lang w:val="hr-HR" w:eastAsia="hr-HR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-801370</wp:posOffset>
          </wp:positionH>
          <wp:positionV relativeFrom="paragraph">
            <wp:posOffset>-1187450</wp:posOffset>
          </wp:positionV>
          <wp:extent cx="760095" cy="655955"/>
          <wp:effectExtent l="0" t="0" r="1905" b="0"/>
          <wp:wrapThrough wrapText="bothSides">
            <wp:wrapPolygon>
              <wp:start x="0" y="0"/>
              <wp:lineTo x="0" y="20701"/>
              <wp:lineTo x="21113" y="20701"/>
              <wp:lineTo x="21113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095" cy="655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lang w:val="hr-HR" w:eastAsia="hr-H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margin">
                <wp:posOffset>258445</wp:posOffset>
              </wp:positionH>
              <wp:positionV relativeFrom="page">
                <wp:posOffset>9394825</wp:posOffset>
              </wp:positionV>
              <wp:extent cx="6196965" cy="1108075"/>
              <wp:effectExtent l="0" t="0" r="0" b="0"/>
              <wp:wrapSquare wrapText="bothSides"/>
              <wp:docPr id="29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6965" cy="1108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0FF8ED7D">
                          <w:pPr>
                            <w:spacing w:after="0"/>
                            <w:jc w:val="right"/>
                            <w:rPr>
                              <w:rFonts w:ascii="Century Gothic" w:hAnsi="Century Gothic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E75B6" w:themeColor="accent1" w:themeShade="BF"/>
                              <w:sz w:val="20"/>
                              <w:szCs w:val="20"/>
                            </w:rPr>
                            <w:t xml:space="preserve">Glavni račun Intesa SanPaolo Bank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  <w:szCs w:val="20"/>
                            </w:rPr>
                            <w:t>1544002000224791</w:t>
                          </w:r>
                        </w:p>
                        <w:p w14:paraId="01E0EF27">
                          <w:pPr>
                            <w:widowControl w:val="0"/>
                            <w:spacing w:after="0"/>
                            <w:jc w:val="right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 xml:space="preserve">Ziraat Bank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1860001041172028  </w:t>
                          </w: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 xml:space="preserve">Nova Banka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5550530049499334 </w:t>
                          </w: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 xml:space="preserve">ProCredit Bank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1941040425000114 </w:t>
                          </w:r>
                        </w:p>
                        <w:p w14:paraId="6E5542AE">
                          <w:pPr>
                            <w:widowControl w:val="0"/>
                            <w:spacing w:after="0"/>
                            <w:jc w:val="right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 xml:space="preserve">BBI banka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1419010010583288  </w:t>
                          </w: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 xml:space="preserve">Unicredit banka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3383002250307675 </w:t>
                          </w: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 xml:space="preserve">NLB Banka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1321000106010241 </w:t>
                          </w:r>
                        </w:p>
                        <w:p w14:paraId="126A0DE8">
                          <w:pPr>
                            <w:widowControl w:val="0"/>
                            <w:spacing w:after="0"/>
                            <w:jc w:val="right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>Sparkasse</w:t>
                          </w:r>
                          <w:r>
                            <w:rPr>
                              <w:rFonts w:ascii="Century Gothic" w:hAnsi="Century Gothic"/>
                              <w:color w:val="5B9BD5" w:themeColor="accent1"/>
                              <w:sz w:val="20"/>
                              <w:szCs w:val="20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1990500006300827 </w:t>
                          </w: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>Addiko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3060340000029053  </w:t>
                          </w: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 xml:space="preserve">Union Banka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1027090000008641 </w:t>
                          </w: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 xml:space="preserve">Raiffeisen Banka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1610000000550486 </w:t>
                          </w: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 xml:space="preserve">MF Banka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5723960000156996 </w:t>
                          </w:r>
                          <w:r>
                            <w:rPr>
                              <w:rFonts w:ascii="Century Gothic" w:hAnsi="Century Gothic"/>
                              <w:color w:val="2E75B6" w:themeColor="accent1" w:themeShade="BF"/>
                              <w:sz w:val="20"/>
                              <w:szCs w:val="20"/>
                            </w:rPr>
                            <w:t xml:space="preserve">ASA Banka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1345801002870613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0.35pt;margin-top:739.75pt;height:87.25pt;width:487.95pt;mso-position-horizontal-relative:margin;mso-position-vertical-relative:page;mso-wrap-distance-bottom:3.6pt;mso-wrap-distance-left:9pt;mso-wrap-distance-right:9pt;mso-wrap-distance-top:3.6pt;z-index:251660288;mso-width-relative:page;mso-height-relative:page;" fillcolor="#FFFFFF" filled="t" stroked="f" coordsize="21600,21600" o:gfxdata="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Qi3DfZAAAADQEAAA8AAAAAAAAAAQAgAAAAIgAAAGRycy9kb3ducmV2LnhtbFBLAQIU&#10;ABQAAAAIAIdO4kA3Q89nKwIAAFQEAAAOAAAAAAAAAAEAIAAAACgBAABkcnMvZTJvRG9jLnhtbFBL&#10;BQYAAAAABgAGAFkBAADFBQAAAAA=&#10;">
              <v:fill on="t" focussize="0,0"/>
              <v:stroke on="f" miterlimit="8" joinstyle="miter"/>
              <v:imagedata o:title=""/>
              <o:lock v:ext="edit" aspectratio="f"/>
              <v:textbox>
                <w:txbxContent>
                  <w:p w14:paraId="0FF8ED7D">
                    <w:pPr>
                      <w:spacing w:after="0"/>
                      <w:jc w:val="right"/>
                      <w:rPr>
                        <w:rFonts w:ascii="Century Gothic" w:hAnsi="Century Gothic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2E75B6" w:themeColor="accent1" w:themeShade="BF"/>
                        <w:sz w:val="20"/>
                        <w:szCs w:val="20"/>
                      </w:rPr>
                      <w:t xml:space="preserve">Glavni račun Intesa SanPaolo Bank </w:t>
                    </w:r>
                    <w:r>
                      <w:rPr>
                        <w:rFonts w:ascii="Century Gothic" w:hAnsi="Century Gothic"/>
                        <w:b/>
                        <w:sz w:val="20"/>
                        <w:szCs w:val="20"/>
                      </w:rPr>
                      <w:t>1544002000224791</w:t>
                    </w:r>
                  </w:p>
                  <w:p w14:paraId="01E0EF27">
                    <w:pPr>
                      <w:widowControl w:val="0"/>
                      <w:spacing w:after="0"/>
                      <w:jc w:val="right"/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 xml:space="preserve">Ziraat Bank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1860001041172028  </w:t>
                    </w: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 xml:space="preserve">Nova Banka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5550530049499334 </w:t>
                    </w: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 xml:space="preserve">ProCredit Bank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1941040425000114 </w:t>
                    </w:r>
                  </w:p>
                  <w:p w14:paraId="6E5542AE">
                    <w:pPr>
                      <w:widowControl w:val="0"/>
                      <w:spacing w:after="0"/>
                      <w:jc w:val="right"/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 xml:space="preserve">BBI banka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1419010010583288  </w:t>
                    </w: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 xml:space="preserve">Unicredit banka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3383002250307675 </w:t>
                    </w: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 xml:space="preserve">NLB Banka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1321000106010241 </w:t>
                    </w:r>
                  </w:p>
                  <w:p w14:paraId="126A0DE8">
                    <w:pPr>
                      <w:widowControl w:val="0"/>
                      <w:spacing w:after="0"/>
                      <w:jc w:val="right"/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>Sparkasse</w:t>
                    </w:r>
                    <w:r>
                      <w:rPr>
                        <w:rFonts w:ascii="Century Gothic" w:hAnsi="Century Gothic"/>
                        <w:color w:val="5B9BD5" w:themeColor="accent1"/>
                        <w:sz w:val="20"/>
                        <w:szCs w:val="20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1990500006300827 </w:t>
                    </w: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>Addiko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 3060340000029053  </w:t>
                    </w: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 xml:space="preserve">Union Banka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1027090000008641 </w:t>
                    </w: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 xml:space="preserve">Raiffeisen Banka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1610000000550486 </w:t>
                    </w: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 xml:space="preserve">MF Banka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5723960000156996 </w:t>
                    </w:r>
                    <w:r>
                      <w:rPr>
                        <w:rFonts w:ascii="Century Gothic" w:hAnsi="Century Gothic"/>
                        <w:color w:val="2E75B6" w:themeColor="accent1" w:themeShade="BF"/>
                        <w:sz w:val="20"/>
                        <w:szCs w:val="20"/>
                      </w:rPr>
                      <w:t xml:space="preserve">ASA Banka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>1345801002870613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F8C6D">
    <w:pPr>
      <w:pStyle w:val="9"/>
      <w:ind w:left="4680" w:hanging="4680"/>
    </w:pPr>
    <w:r>
      <w:rPr>
        <w:lang w:val="hr-HR" w:eastAsia="hr-H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-2687955</wp:posOffset>
          </wp:positionH>
          <wp:positionV relativeFrom="margin">
            <wp:posOffset>-2054860</wp:posOffset>
          </wp:positionV>
          <wp:extent cx="3835400" cy="5186680"/>
          <wp:effectExtent l="0" t="0" r="0" b="0"/>
          <wp:wrapNone/>
          <wp:docPr id="302" name="Picture 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" name="Picture 30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6053"/>
                  <a:stretch>
                    <a:fillRect/>
                  </a:stretch>
                </pic:blipFill>
                <pic:spPr>
                  <a:xfrm>
                    <a:off x="0" y="0"/>
                    <a:ext cx="3835400" cy="51866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hr-HR"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1057910</wp:posOffset>
              </wp:positionH>
              <wp:positionV relativeFrom="paragraph">
                <wp:posOffset>-177165</wp:posOffset>
              </wp:positionV>
              <wp:extent cx="5502275" cy="1165225"/>
              <wp:effectExtent l="0" t="0" r="3175" b="0"/>
              <wp:wrapSquare wrapText="bothSides"/>
              <wp:docPr id="21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02275" cy="1165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A275A53">
                          <w:pPr>
                            <w:spacing w:after="0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5B9BD5"/>
                              <w:sz w:val="20"/>
                              <w:szCs w:val="20"/>
                            </w:rPr>
                            <w:t>TEHNOGRAD-company d.o.o. Tuzla</w:t>
                          </w:r>
                          <w:r>
                            <w:rPr>
                              <w:rFonts w:ascii="Century Gothic" w:hAnsi="Century Gothic"/>
                              <w:color w:val="5B9BD5" w:themeColor="accent1"/>
                              <w:sz w:val="20"/>
                              <w:szCs w:val="20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Fra Grge Martića 8, 75000 Tuzla, BiH.</w:t>
                          </w:r>
                        </w:p>
                        <w:p w14:paraId="49364543">
                          <w:pPr>
                            <w:spacing w:after="0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5B9BD5" w:themeColor="accent1"/>
                              <w:sz w:val="20"/>
                              <w:szCs w:val="20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Centrala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+387 35 251-211 </w:t>
                          </w:r>
                          <w:r>
                            <w:rPr>
                              <w:rFonts w:ascii="Century Gothic" w:hAnsi="Century Gothic"/>
                              <w:color w:val="5B9BD5" w:themeColor="accent1"/>
                              <w:sz w:val="20"/>
                              <w:szCs w:val="20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 xml:space="preserve"> Direktor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+387 35 252-433 +387 35 250-154                  </w:t>
                          </w:r>
                          <w:r>
                            <w:rPr>
                              <w:rFonts w:ascii="Century Gothic" w:hAnsi="Century Gothic"/>
                              <w:color w:val="5B9BD5" w:themeColor="accent1"/>
                              <w:sz w:val="20"/>
                              <w:szCs w:val="20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Marketing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+387 35 252-642 </w:t>
                          </w:r>
                          <w:r>
                            <w:rPr>
                              <w:rFonts w:ascii="Century Gothic" w:hAnsi="Century Gothic"/>
                              <w:color w:val="5B9BD5" w:themeColor="accent1"/>
                              <w:sz w:val="20"/>
                              <w:szCs w:val="20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 xml:space="preserve">Komercijala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+387 35 250-034  </w:t>
                          </w:r>
                          <w:r>
                            <w:rPr>
                              <w:rFonts w:ascii="Century Gothic" w:hAnsi="Century Gothic"/>
                              <w:color w:val="5B9BD5" w:themeColor="accent1"/>
                              <w:sz w:val="20"/>
                              <w:szCs w:val="20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 xml:space="preserve">Teh.priprema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+387 35 250-071</w:t>
                          </w:r>
                          <w:r>
                            <w:rPr>
                              <w:rFonts w:ascii="Century Gothic" w:hAnsi="Century Gothic"/>
                              <w:color w:val="5B9BD5" w:themeColor="accent1"/>
                              <w:sz w:val="20"/>
                              <w:szCs w:val="20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 xml:space="preserve">     </w:t>
                          </w:r>
                        </w:p>
                        <w:p w14:paraId="13AF9104">
                          <w:pPr>
                            <w:spacing w:after="0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5B9BD5" w:themeColor="accent1"/>
                              <w:sz w:val="20"/>
                              <w:szCs w:val="20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 xml:space="preserve"> Identifikacijski broj PDV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2094001800009  </w:t>
                          </w:r>
                          <w:r>
                            <w:rPr>
                              <w:rFonts w:ascii="Century Gothic" w:hAnsi="Century Gothic"/>
                              <w:color w:val="5B9BD5" w:themeColor="accent1"/>
                              <w:sz w:val="20"/>
                              <w:szCs w:val="20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 xml:space="preserve">Registarski broj 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U/I-4748/2000 </w:t>
                          </w:r>
                        </w:p>
                        <w:p w14:paraId="50E50AB0">
                          <w:pPr>
                            <w:spacing w:after="0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www.tehnograd-company.ba  sekretarica@tehnograd-company.ba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83.3pt;margin-top:-13.95pt;height:91.75pt;width:433.25pt;mso-position-horizontal-relative:margin;mso-wrap-distance-bottom:3.6pt;mso-wrap-distance-left:9pt;mso-wrap-distance-right:9pt;mso-wrap-distance-top:3.6pt;z-index:251659264;mso-width-relative:page;mso-height-relative:page;" fillcolor="#FFFFFF" filled="t" stroked="f" coordsize="21600,21600" o:gfxdata="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WFbo/tkAAAAMAQAADwAAAAAAAAABACAAAAAiAAAAZHJzL2Rvd25yZXYueG1sUEsBAhQA&#10;FAAAAAgAh07iQNg8IwoqAgAAVAQAAA4AAAAAAAAAAQAgAAAAKAEAAGRycy9lMm9Eb2MueG1sUEsF&#10;BgAAAAAGAAYAWQEAAMQFAAAAAA==&#10;">
              <v:fill on="t" focussize="0,0"/>
              <v:stroke on="f" miterlimit="8" joinstyle="miter"/>
              <v:imagedata o:title=""/>
              <o:lock v:ext="edit" aspectratio="f"/>
              <v:textbox>
                <w:txbxContent>
                  <w:p w14:paraId="1A275A53">
                    <w:pPr>
                      <w:spacing w:after="0"/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5B9BD5"/>
                        <w:sz w:val="20"/>
                        <w:szCs w:val="20"/>
                      </w:rPr>
                      <w:t>TEHNOGRAD-company d.o.o. Tuzla</w:t>
                    </w:r>
                    <w:r>
                      <w:rPr>
                        <w:rFonts w:ascii="Century Gothic" w:hAnsi="Century Gothic"/>
                        <w:color w:val="5B9BD5" w:themeColor="accent1"/>
                        <w:sz w:val="20"/>
                        <w:szCs w:val="20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>Fra Grge Martića 8, 75000 Tuzla, BiH.</w:t>
                    </w:r>
                  </w:p>
                  <w:p w14:paraId="49364543">
                    <w:pPr>
                      <w:spacing w:after="0"/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>
                      <w:rPr>
                        <w:rFonts w:ascii="Century Gothic" w:hAnsi="Century Gothic"/>
                        <w:color w:val="5B9BD5" w:themeColor="accent1"/>
                        <w:sz w:val="20"/>
                        <w:szCs w:val="20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>Centrala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 +387 35 251-211 </w:t>
                    </w:r>
                    <w:r>
                      <w:rPr>
                        <w:rFonts w:ascii="Century Gothic" w:hAnsi="Century Gothic"/>
                        <w:color w:val="5B9BD5" w:themeColor="accent1"/>
                        <w:sz w:val="20"/>
                        <w:szCs w:val="20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 xml:space="preserve"> Direktor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+387 35 252-433 +387 35 250-154                  </w:t>
                    </w:r>
                    <w:r>
                      <w:rPr>
                        <w:rFonts w:ascii="Century Gothic" w:hAnsi="Century Gothic"/>
                        <w:color w:val="5B9BD5" w:themeColor="accent1"/>
                        <w:sz w:val="20"/>
                        <w:szCs w:val="20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>Marketing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 +387 35 252-642 </w:t>
                    </w:r>
                    <w:r>
                      <w:rPr>
                        <w:rFonts w:ascii="Century Gothic" w:hAnsi="Century Gothic"/>
                        <w:color w:val="5B9BD5" w:themeColor="accent1"/>
                        <w:sz w:val="20"/>
                        <w:szCs w:val="20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 xml:space="preserve">Komercijala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+387 35 250-034  </w:t>
                    </w:r>
                    <w:r>
                      <w:rPr>
                        <w:rFonts w:ascii="Century Gothic" w:hAnsi="Century Gothic"/>
                        <w:color w:val="5B9BD5" w:themeColor="accent1"/>
                        <w:sz w:val="20"/>
                        <w:szCs w:val="20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 xml:space="preserve">Teh.priprema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>+387 35 250-071</w:t>
                    </w:r>
                    <w:r>
                      <w:rPr>
                        <w:rFonts w:ascii="Century Gothic" w:hAnsi="Century Gothic"/>
                        <w:color w:val="5B9BD5" w:themeColor="accent1"/>
                        <w:sz w:val="20"/>
                        <w:szCs w:val="20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 xml:space="preserve">     </w:t>
                    </w:r>
                  </w:p>
                  <w:p w14:paraId="13AF9104">
                    <w:pPr>
                      <w:spacing w:after="0"/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>
                      <w:rPr>
                        <w:rFonts w:ascii="Century Gothic" w:hAnsi="Century Gothic"/>
                        <w:color w:val="5B9BD5" w:themeColor="accent1"/>
                        <w:sz w:val="20"/>
                        <w:szCs w:val="20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 xml:space="preserve"> Identifikacijski broj PDV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2094001800009  </w:t>
                    </w:r>
                    <w:r>
                      <w:rPr>
                        <w:rFonts w:ascii="Century Gothic" w:hAnsi="Century Gothic"/>
                        <w:color w:val="5B9BD5" w:themeColor="accent1"/>
                        <w:sz w:val="20"/>
                        <w:szCs w:val="20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 xml:space="preserve">Registarski broj </w:t>
                    </w: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U/I-4748/2000 </w:t>
                    </w:r>
                  </w:p>
                  <w:p w14:paraId="50E50AB0">
                    <w:pPr>
                      <w:spacing w:after="0"/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>
                      <w:rPr>
                        <w:rFonts w:ascii="Century Gothic" w:hAnsi="Century Gothic"/>
                        <w:sz w:val="20"/>
                        <w:szCs w:val="20"/>
                      </w:rPr>
                      <w:t>www.tehnograd-company.ba  sekretarica@tehnograd-company.ba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Century Gothic" w:hAnsi="Century Gothic"/>
        <w:sz w:val="24"/>
        <w:lang w:val="hr-HR" w:eastAsia="hr-H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-271145</wp:posOffset>
          </wp:positionH>
          <wp:positionV relativeFrom="margin">
            <wp:posOffset>-688340</wp:posOffset>
          </wp:positionV>
          <wp:extent cx="875030" cy="1010920"/>
          <wp:effectExtent l="0" t="0" r="127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030" cy="1010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DEC0FF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F23778"/>
    <w:multiLevelType w:val="multilevel"/>
    <w:tmpl w:val="14F23778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E095995"/>
    <w:multiLevelType w:val="multilevel"/>
    <w:tmpl w:val="2E095995"/>
    <w:lvl w:ilvl="0" w:tentative="0">
      <w:start w:val="1"/>
      <w:numFmt w:val="bullet"/>
      <w:lvlText w:val=""/>
      <w:lvlJc w:val="left"/>
      <w:pPr>
        <w:ind w:left="784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50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4" w:hanging="360"/>
      </w:pPr>
      <w:rPr>
        <w:rFonts w:hint="default" w:ascii="Wingdings" w:hAnsi="Wingdings"/>
      </w:rPr>
    </w:lvl>
  </w:abstractNum>
  <w:abstractNum w:abstractNumId="2">
    <w:nsid w:val="30654E67"/>
    <w:multiLevelType w:val="multilevel"/>
    <w:tmpl w:val="30654E67"/>
    <w:lvl w:ilvl="0" w:tentative="0">
      <w:start w:val="4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hint="default" w:ascii="Calibri" w:hAnsi="Calibri" w:eastAsiaTheme="minorHAnsi" w:cstheme="minorBidi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5E727C7F"/>
    <w:multiLevelType w:val="multilevel"/>
    <w:tmpl w:val="5E727C7F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65CB6225"/>
    <w:multiLevelType w:val="multilevel"/>
    <w:tmpl w:val="65CB6225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6F362F91"/>
    <w:multiLevelType w:val="multilevel"/>
    <w:tmpl w:val="6F362F91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77206792"/>
    <w:multiLevelType w:val="multilevel"/>
    <w:tmpl w:val="77206792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C3D"/>
    <w:rsid w:val="00040D8B"/>
    <w:rsid w:val="0004344A"/>
    <w:rsid w:val="00044D34"/>
    <w:rsid w:val="00053FCF"/>
    <w:rsid w:val="00075AC6"/>
    <w:rsid w:val="000A5D6C"/>
    <w:rsid w:val="000B61F0"/>
    <w:rsid w:val="000C48AC"/>
    <w:rsid w:val="000E021C"/>
    <w:rsid w:val="000E41B4"/>
    <w:rsid w:val="000F334F"/>
    <w:rsid w:val="0010087F"/>
    <w:rsid w:val="00105D66"/>
    <w:rsid w:val="00113CED"/>
    <w:rsid w:val="00131DFD"/>
    <w:rsid w:val="00132D01"/>
    <w:rsid w:val="00133A02"/>
    <w:rsid w:val="00137A19"/>
    <w:rsid w:val="00157A4A"/>
    <w:rsid w:val="001622D0"/>
    <w:rsid w:val="001737BE"/>
    <w:rsid w:val="001B1604"/>
    <w:rsid w:val="001D0C8D"/>
    <w:rsid w:val="001E0ABE"/>
    <w:rsid w:val="001F49C9"/>
    <w:rsid w:val="00207ABE"/>
    <w:rsid w:val="002109A7"/>
    <w:rsid w:val="0022230E"/>
    <w:rsid w:val="00237B2D"/>
    <w:rsid w:val="002466F0"/>
    <w:rsid w:val="00253FE5"/>
    <w:rsid w:val="00265295"/>
    <w:rsid w:val="0026752D"/>
    <w:rsid w:val="002828E8"/>
    <w:rsid w:val="00282B79"/>
    <w:rsid w:val="002A0106"/>
    <w:rsid w:val="002A3995"/>
    <w:rsid w:val="002A6DAA"/>
    <w:rsid w:val="002B0038"/>
    <w:rsid w:val="002C44BA"/>
    <w:rsid w:val="002E2E7C"/>
    <w:rsid w:val="002F7679"/>
    <w:rsid w:val="00335F43"/>
    <w:rsid w:val="003365E7"/>
    <w:rsid w:val="003372FD"/>
    <w:rsid w:val="003517DD"/>
    <w:rsid w:val="00372D5E"/>
    <w:rsid w:val="003833CC"/>
    <w:rsid w:val="003A2566"/>
    <w:rsid w:val="003A3B49"/>
    <w:rsid w:val="003A6C64"/>
    <w:rsid w:val="003B182C"/>
    <w:rsid w:val="003B406D"/>
    <w:rsid w:val="003D1780"/>
    <w:rsid w:val="003D29DD"/>
    <w:rsid w:val="003D3E42"/>
    <w:rsid w:val="003D7C21"/>
    <w:rsid w:val="003E0D67"/>
    <w:rsid w:val="003F3863"/>
    <w:rsid w:val="004017B5"/>
    <w:rsid w:val="00402F68"/>
    <w:rsid w:val="00425C25"/>
    <w:rsid w:val="0043516C"/>
    <w:rsid w:val="004426D0"/>
    <w:rsid w:val="00443875"/>
    <w:rsid w:val="00447C6E"/>
    <w:rsid w:val="00472B9E"/>
    <w:rsid w:val="004A389B"/>
    <w:rsid w:val="004C58C8"/>
    <w:rsid w:val="004D6697"/>
    <w:rsid w:val="004E295D"/>
    <w:rsid w:val="004E7CB3"/>
    <w:rsid w:val="004F5FFF"/>
    <w:rsid w:val="0050169D"/>
    <w:rsid w:val="00521394"/>
    <w:rsid w:val="005240AE"/>
    <w:rsid w:val="00527093"/>
    <w:rsid w:val="005361F7"/>
    <w:rsid w:val="00536203"/>
    <w:rsid w:val="00573DC0"/>
    <w:rsid w:val="00587E0E"/>
    <w:rsid w:val="005A0EE4"/>
    <w:rsid w:val="005B480E"/>
    <w:rsid w:val="005E47DF"/>
    <w:rsid w:val="0060508D"/>
    <w:rsid w:val="0061583E"/>
    <w:rsid w:val="00651FCC"/>
    <w:rsid w:val="00652D40"/>
    <w:rsid w:val="00666DD3"/>
    <w:rsid w:val="00696F79"/>
    <w:rsid w:val="006A0425"/>
    <w:rsid w:val="006B248D"/>
    <w:rsid w:val="006B379E"/>
    <w:rsid w:val="006C0D29"/>
    <w:rsid w:val="006C1414"/>
    <w:rsid w:val="006C7899"/>
    <w:rsid w:val="006E2087"/>
    <w:rsid w:val="006E249E"/>
    <w:rsid w:val="006F4D83"/>
    <w:rsid w:val="007053C7"/>
    <w:rsid w:val="0071327A"/>
    <w:rsid w:val="0071708E"/>
    <w:rsid w:val="00732A8D"/>
    <w:rsid w:val="00746DDA"/>
    <w:rsid w:val="00775344"/>
    <w:rsid w:val="00794BB5"/>
    <w:rsid w:val="007C1DD2"/>
    <w:rsid w:val="007C53DC"/>
    <w:rsid w:val="007C6402"/>
    <w:rsid w:val="00800B62"/>
    <w:rsid w:val="00822572"/>
    <w:rsid w:val="0083010A"/>
    <w:rsid w:val="00840C3D"/>
    <w:rsid w:val="00843336"/>
    <w:rsid w:val="0084705E"/>
    <w:rsid w:val="0087072E"/>
    <w:rsid w:val="008771E3"/>
    <w:rsid w:val="008A553E"/>
    <w:rsid w:val="008D3084"/>
    <w:rsid w:val="008F6BFD"/>
    <w:rsid w:val="009073F4"/>
    <w:rsid w:val="009105EA"/>
    <w:rsid w:val="009320BD"/>
    <w:rsid w:val="00937962"/>
    <w:rsid w:val="00937EAE"/>
    <w:rsid w:val="00942D21"/>
    <w:rsid w:val="00962F79"/>
    <w:rsid w:val="009821A8"/>
    <w:rsid w:val="0098514A"/>
    <w:rsid w:val="009B46EA"/>
    <w:rsid w:val="009F7E41"/>
    <w:rsid w:val="00A0727E"/>
    <w:rsid w:val="00A20E24"/>
    <w:rsid w:val="00A21535"/>
    <w:rsid w:val="00A2202A"/>
    <w:rsid w:val="00A229FC"/>
    <w:rsid w:val="00A44138"/>
    <w:rsid w:val="00A479C4"/>
    <w:rsid w:val="00A87C33"/>
    <w:rsid w:val="00A9442A"/>
    <w:rsid w:val="00AA6E8C"/>
    <w:rsid w:val="00AD1F7D"/>
    <w:rsid w:val="00B03593"/>
    <w:rsid w:val="00B22F0D"/>
    <w:rsid w:val="00B251C8"/>
    <w:rsid w:val="00B416D9"/>
    <w:rsid w:val="00B75822"/>
    <w:rsid w:val="00B90538"/>
    <w:rsid w:val="00BA3E24"/>
    <w:rsid w:val="00BA605E"/>
    <w:rsid w:val="00BC2A4E"/>
    <w:rsid w:val="00BC7E61"/>
    <w:rsid w:val="00BE0600"/>
    <w:rsid w:val="00BE09B3"/>
    <w:rsid w:val="00BF1036"/>
    <w:rsid w:val="00C06915"/>
    <w:rsid w:val="00C11AD2"/>
    <w:rsid w:val="00C340A6"/>
    <w:rsid w:val="00C35835"/>
    <w:rsid w:val="00C40809"/>
    <w:rsid w:val="00C40E54"/>
    <w:rsid w:val="00C54842"/>
    <w:rsid w:val="00C97E26"/>
    <w:rsid w:val="00CC072D"/>
    <w:rsid w:val="00CC0B38"/>
    <w:rsid w:val="00CD1419"/>
    <w:rsid w:val="00CE5A3E"/>
    <w:rsid w:val="00D33B4D"/>
    <w:rsid w:val="00D374FD"/>
    <w:rsid w:val="00D628FC"/>
    <w:rsid w:val="00D7576E"/>
    <w:rsid w:val="00D84935"/>
    <w:rsid w:val="00D97A0A"/>
    <w:rsid w:val="00DC0898"/>
    <w:rsid w:val="00DD61B6"/>
    <w:rsid w:val="00DE21C1"/>
    <w:rsid w:val="00DE541F"/>
    <w:rsid w:val="00DE725C"/>
    <w:rsid w:val="00DF564D"/>
    <w:rsid w:val="00E03AEB"/>
    <w:rsid w:val="00E10886"/>
    <w:rsid w:val="00E54258"/>
    <w:rsid w:val="00E64D5E"/>
    <w:rsid w:val="00E9119A"/>
    <w:rsid w:val="00E95D43"/>
    <w:rsid w:val="00E9655D"/>
    <w:rsid w:val="00EA10BA"/>
    <w:rsid w:val="00EB6FDE"/>
    <w:rsid w:val="00EF4944"/>
    <w:rsid w:val="00EF6115"/>
    <w:rsid w:val="00F02A1C"/>
    <w:rsid w:val="00F25A4E"/>
    <w:rsid w:val="00F312B2"/>
    <w:rsid w:val="00F4057B"/>
    <w:rsid w:val="00F55232"/>
    <w:rsid w:val="00F61687"/>
    <w:rsid w:val="00F77ED2"/>
    <w:rsid w:val="00FA543A"/>
    <w:rsid w:val="00FC498E"/>
    <w:rsid w:val="00FD07F5"/>
    <w:rsid w:val="00FF2317"/>
    <w:rsid w:val="2FC63312"/>
    <w:rsid w:val="4969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6">
    <w:name w:val="annotation text"/>
    <w:basedOn w:val="1"/>
    <w:link w:val="15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7">
    <w:name w:val="annotation subject"/>
    <w:basedOn w:val="6"/>
    <w:next w:val="6"/>
    <w:link w:val="16"/>
    <w:semiHidden/>
    <w:unhideWhenUsed/>
    <w:uiPriority w:val="99"/>
    <w:rPr>
      <w:b/>
      <w:bCs/>
    </w:rPr>
  </w:style>
  <w:style w:type="paragraph" w:styleId="8">
    <w:name w:val="footer"/>
    <w:basedOn w:val="1"/>
    <w:link w:val="14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header"/>
    <w:basedOn w:val="1"/>
    <w:link w:val="1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0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Strong"/>
    <w:basedOn w:val="2"/>
    <w:qFormat/>
    <w:uiPriority w:val="22"/>
    <w:rPr>
      <w:b/>
      <w:bCs/>
    </w:rPr>
  </w:style>
  <w:style w:type="table" w:styleId="12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Header Char"/>
    <w:basedOn w:val="2"/>
    <w:link w:val="9"/>
    <w:qFormat/>
    <w:uiPriority w:val="99"/>
  </w:style>
  <w:style w:type="character" w:customStyle="1" w:styleId="14">
    <w:name w:val="Footer Char"/>
    <w:basedOn w:val="2"/>
    <w:link w:val="8"/>
    <w:uiPriority w:val="99"/>
  </w:style>
  <w:style w:type="character" w:customStyle="1" w:styleId="15">
    <w:name w:val="Comment Text Char"/>
    <w:basedOn w:val="2"/>
    <w:link w:val="6"/>
    <w:semiHidden/>
    <w:qFormat/>
    <w:uiPriority w:val="99"/>
    <w:rPr>
      <w:sz w:val="20"/>
      <w:szCs w:val="20"/>
    </w:rPr>
  </w:style>
  <w:style w:type="character" w:customStyle="1" w:styleId="16">
    <w:name w:val="Comment Subject Char"/>
    <w:basedOn w:val="15"/>
    <w:link w:val="7"/>
    <w:semiHidden/>
    <w:uiPriority w:val="99"/>
    <w:rPr>
      <w:b/>
      <w:bCs/>
      <w:sz w:val="20"/>
      <w:szCs w:val="20"/>
    </w:rPr>
  </w:style>
  <w:style w:type="character" w:customStyle="1" w:styleId="17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paragraph" w:customStyle="1" w:styleId="19">
    <w:name w:val="Table Paragraph"/>
    <w:basedOn w:val="1"/>
    <w:qFormat/>
    <w:uiPriority w:val="1"/>
    <w:pPr>
      <w:widowControl w:val="0"/>
      <w:autoSpaceDE w:val="0"/>
      <w:autoSpaceDN w:val="0"/>
      <w:spacing w:before="4" w:after="0" w:line="244" w:lineRule="exact"/>
      <w:ind w:left="139"/>
      <w:jc w:val="center"/>
    </w:pPr>
    <w:rPr>
      <w:rFonts w:ascii="Verdana" w:hAnsi="Verdana" w:eastAsia="Verdana" w:cs="Verdana"/>
    </w:rPr>
  </w:style>
  <w:style w:type="paragraph" w:styleId="2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paragraph" w:customStyle="1" w:styleId="21">
    <w:name w:val="No Spacing1"/>
    <w:qFormat/>
    <w:uiPriority w:val="2"/>
    <w:pPr>
      <w:suppressAutoHyphens/>
      <w:spacing w:after="0" w:line="100" w:lineRule="atLeast"/>
    </w:pPr>
    <w:rPr>
      <w:rFonts w:ascii="Calibri" w:hAnsi="Calibri" w:eastAsia="SimSun" w:cs="Calibri"/>
      <w:kern w:val="1"/>
      <w:sz w:val="22"/>
      <w:szCs w:val="22"/>
      <w:lang w:val="hr-HR" w:eastAsia="ar-SA" w:bidi="ar-SA"/>
    </w:rPr>
  </w:style>
  <w:style w:type="character" w:customStyle="1" w:styleId="22">
    <w:name w:val="a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5064CE-CF54-4B03-9F46-29885BF6B4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441</Words>
  <Characters>2518</Characters>
  <Lines>20</Lines>
  <Paragraphs>5</Paragraphs>
  <TotalTime>22</TotalTime>
  <ScaleCrop>false</ScaleCrop>
  <LinksUpToDate>false</LinksUpToDate>
  <CharactersWithSpaces>2954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2024-05-10T08:28:00Z</dcterms:created>
  <dc:creator>dugalic.ida.radno@hotmail.com</dc:creator>
  <cp:lastModifiedBy>PRAVNA SLUZBA</cp:lastModifiedBy>
  <cp:lastPrinted>2024-05-10T07:47:00Z</cp:lastPrinted>
  <dcterms:modified xsi:type="dcterms:W3CDTF">2025-01-18T07:46:05Z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38AA3103CA4040319584E66E588E8575_13</vt:lpwstr>
  </property>
</Properties>
</file>